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27" w:type="dxa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8"/>
        <w:gridCol w:w="55"/>
        <w:gridCol w:w="4764"/>
      </w:tblGrid>
      <w:tr>
        <w:trPr/>
        <w:tc>
          <w:tcPr>
            <w:tcW w:w="9527" w:type="dxa"/>
            <w:gridSpan w:val="3"/>
            <w:tcBorders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Liste des especes a La Cabane</w:t>
            </w:r>
          </w:p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vu lors des visites effectuées du 20 au 26 mai 2024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francais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 scientifique</w:t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Orchidées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Sérapias langue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Serapias lingua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color w:val="000000"/>
                <w:sz w:val="24"/>
                <w:szCs w:val="24"/>
                <w:shd w:fill="FFFF00" w:val="clear"/>
              </w:rPr>
            </w:pPr>
            <w:r>
              <w:rPr>
                <w:b w:val="false"/>
                <w:i w:val="false"/>
                <w:color w:val="000000"/>
                <w:sz w:val="24"/>
                <w:szCs w:val="24"/>
                <w:shd w:fill="FFFF00" w:val="clear"/>
              </w:rPr>
              <w:t>Orchis à fleurs lâches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  <w:shd w:fill="FFFF00" w:val="clear"/>
              </w:rPr>
            </w:pPr>
            <w:r>
              <w:rPr>
                <w:i/>
                <w:iCs/>
                <w:sz w:val="24"/>
                <w:szCs w:val="24"/>
                <w:shd w:fill="FFFF00" w:val="clear"/>
              </w:rPr>
              <w:t>Anacamptis laxiflora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Orchis bouffon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Anacamptis morio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Orchis pyramidale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Anacamptis pyramidalis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Ophrys abeille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Ophrys apifera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Platanthere a fleurs verdatre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Planthera chloranthus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Flore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Blackstonie perfolié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Blackstonia perfoliata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Stellaire holostée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Rabelera holostea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Œnanthe faux boucage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Oenanthe pimpinelloides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Scorsonère des prés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Scorzonera humilis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Oeillet des p</w:t>
            </w:r>
            <w:r>
              <w:rPr>
                <w:sz w:val="24"/>
                <w:szCs w:val="24"/>
              </w:rPr>
              <w:t xml:space="preserve">rés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  <w:r>
              <w:rPr>
                <w:i/>
                <w:iCs/>
                <w:sz w:val="24"/>
                <w:szCs w:val="24"/>
              </w:rPr>
              <w:t>ychnis flos-cuculi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Campanule raiponce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Campanula rapunculus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rFonts w:ascii="Liberation Serif" w:hAnsi="Liberation Serif"/>
                <w:b w:val="false"/>
                <w:b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b w:val="false"/>
                <w:i w:val="false"/>
                <w:iCs w:val="false"/>
                <w:color w:val="000000"/>
                <w:sz w:val="24"/>
                <w:szCs w:val="24"/>
              </w:rPr>
              <w:t>Trèfle jaunâtre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Trifolium ochroleucon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Ronce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Rubus agg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bidi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Polygale commun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Polygala vulgaris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Ranuncule rampante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Ranunculus repens 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Petite-Douve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Ranunculus flammula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Arbres et Buissons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</w:t>
            </w:r>
            <w:r>
              <w:rPr>
                <w:b w:val="false"/>
                <w:bCs w:val="false"/>
                <w:sz w:val="24"/>
                <w:szCs w:val="24"/>
              </w:rPr>
              <w:t xml:space="preserve">hêne pédonculé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Quercus robur 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jonc d'Europe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Ulex europaeus 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Chêne pubescent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Quercus pubescence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Rosier des chiens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Rosa canina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Cormier/Sorbier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Cornus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Herbes, </w:t>
            </w:r>
            <w:r>
              <w:rPr>
                <w:b/>
                <w:bCs/>
                <w:sz w:val="24"/>
                <w:szCs w:val="24"/>
              </w:rPr>
              <w:t>Joncs et Laiches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Fléole des prés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Phleum pratense</w:t>
            </w:r>
            <w:r>
              <w:rPr>
                <w:sz w:val="24"/>
                <w:szCs w:val="24"/>
              </w:rPr>
              <w:t xml:space="preserve"> ssp </w:t>
            </w:r>
            <w:r>
              <w:rPr>
                <w:i/>
                <w:iCs/>
                <w:sz w:val="24"/>
                <w:szCs w:val="24"/>
              </w:rPr>
              <w:t>pratense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  <w:sz w:val="24"/>
                <w:szCs w:val="24"/>
              </w:rPr>
              <w:t>ichens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Téloschiste ocellé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spacing w:before="0" w:after="200"/>
              <w:contextualSpacing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Teloschistes chrysophthalmos = Teloschistes chrysophthalmus.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Amandinea punctata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Arthonia radiata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Arthopyrenia analepta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Bacidia arceutina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Bacidia laurocerasi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Catillaria nigroclavata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Cladonia fimbriata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Cladonia furcata subsp.furcata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Cladonia pyxidata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Cladonia rangiformis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Cladonia subulata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Evernia prunasti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Flavoparmelia caperata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Hyperphyscia adglutinata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Hypotrachyna afrorevoluta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Hypotrachyna revoluta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Lecania naegelii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Lecanora barkmaniana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Lecanora carpinea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Lecanora chlarotera subsp. chalrotera f. chlarotera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Lecanora chlarotera subsp. chlarotera f. rugosella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Lecanora leptyrodes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Lecidella elaeochroma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Lichenochora galligena sur Physcia adscendens (champignon lichénicole)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Melanelixia subaurifera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Orcularia insperata = Rinodina biloculata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Parmelia sulcata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Parmotrema perlatum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Peltigera rufescens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Phlyctis agelaea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Physcia adscendens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 xml:space="preserve">Physcia aipolia 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Physcia tenella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Protoparmeliopsis muralis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Punctelia borreri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Polycauliona polycarpa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Porpidia crustulata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Ramalina fraxinea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Rhizocarpon reductum</w:t>
            </w:r>
          </w:p>
          <w:p>
            <w:pPr>
              <w:pStyle w:val="Normal"/>
              <w:spacing w:before="0" w:after="200"/>
              <w:contextualSpacing/>
              <w:rPr/>
            </w:pPr>
            <w:r>
              <w:rPr>
                <w:i/>
                <w:iCs/>
                <w:lang w:val="en-US"/>
              </w:rPr>
              <w:t xml:space="preserve">Scoliciosporum umbrinum éco. </w:t>
            </w:r>
            <w:r>
              <w:rPr>
                <w:i/>
                <w:iCs/>
              </w:rPr>
              <w:t>corticolum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Trapelia coarctata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Traponora varians = Lecidea exigua</w:t>
            </w:r>
          </w:p>
          <w:p>
            <w:pPr>
              <w:pStyle w:val="Normal"/>
              <w:spacing w:before="0" w:after="200"/>
              <w:contextualSpacing/>
              <w:rPr>
                <w:i/>
                <w:i/>
                <w:iCs/>
              </w:rPr>
            </w:pPr>
            <w:r>
              <w:rPr>
                <w:i/>
                <w:iCs/>
              </w:rPr>
              <w:t>Verrucaria muralis</w:t>
            </w:r>
          </w:p>
          <w:p>
            <w:pPr>
              <w:pStyle w:val="Normal"/>
              <w:spacing w:before="0" w:after="200"/>
              <w:contextualSpacing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Xanthoria parietina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Papillons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Gazé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Aporia crataegi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Hespérie de la mauve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Pyrgus malvae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Aglaope des haies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Aglaope infausta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Mélitée des centaurées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Melitaea phoebe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Mélitée du plantain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Melitaea cinxa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Myrtil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Maniola jurtina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Tircis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Parage aegeria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Petit sylvain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Limenitis camilla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rPr>
                <w:rFonts w:ascii="Liberation Serif" w:hAnsi="Liberation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Azuré du trèfle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Everes argiades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Azuré de la bugrane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Polyommatus icarus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Cuivré fulgineux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</w:t>
            </w:r>
            <w:r>
              <w:rPr>
                <w:i/>
                <w:iCs/>
                <w:sz w:val="24"/>
                <w:szCs w:val="24"/>
              </w:rPr>
              <w:t>ycaena tityrus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Phalène blanche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Siona lineata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  <w:shd w:fill="FFFF00" w:val="clear"/>
              </w:rPr>
            </w:pPr>
            <w:r>
              <w:rPr>
                <w:sz w:val="24"/>
                <w:szCs w:val="24"/>
                <w:shd w:fill="FFFF00" w:val="clear"/>
              </w:rPr>
              <w:t>Sp</w:t>
            </w:r>
            <w:r>
              <w:rPr>
                <w:sz w:val="24"/>
                <w:szCs w:val="24"/>
                <w:shd w:fill="FFFF00" w:val="clear"/>
              </w:rPr>
              <w:t>h</w:t>
            </w:r>
            <w:r>
              <w:rPr>
                <w:sz w:val="24"/>
                <w:szCs w:val="24"/>
                <w:shd w:fill="FFFF00" w:val="clear"/>
              </w:rPr>
              <w:t>inx de l’epilobe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  <w:shd w:fill="FFFF00" w:val="clear"/>
              </w:rPr>
            </w:pPr>
            <w:r>
              <w:rPr>
                <w:i/>
                <w:iCs/>
                <w:sz w:val="24"/>
                <w:szCs w:val="24"/>
                <w:shd w:fill="FFFF00" w:val="clear"/>
              </w:rPr>
              <w:t>Proserpinus proserpina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Sphinx gazé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Hemaris fuciformis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Ecai</w:t>
            </w:r>
            <w:r>
              <w:rPr>
                <w:b w:val="false"/>
                <w:bCs w:val="false"/>
                <w:sz w:val="24"/>
                <w:szCs w:val="24"/>
              </w:rPr>
              <w:t>ll</w:t>
            </w:r>
            <w:r>
              <w:rPr>
                <w:b w:val="false"/>
                <w:bCs w:val="false"/>
                <w:sz w:val="24"/>
                <w:szCs w:val="24"/>
              </w:rPr>
              <w:t>e martre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Arctia caja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Livrée des arbres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Malacosoma neustria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Bordure ensanglantée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Diacrisia sannio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Libellules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Orthethrum a cercoides blanc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i/>
                <w:iCs/>
                <w:sz w:val="24"/>
                <w:szCs w:val="24"/>
                <w:shd w:fill="auto" w:val="clear"/>
              </w:rPr>
              <w:t>Orthetrum albistylum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Agrion orangé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i/>
                <w:iCs/>
                <w:sz w:val="24"/>
                <w:szCs w:val="24"/>
                <w:shd w:fill="auto" w:val="clear"/>
              </w:rPr>
              <w:t>Platycnemis acutipennis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Agrion joli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i/>
                <w:iCs/>
                <w:sz w:val="24"/>
                <w:szCs w:val="24"/>
                <w:shd w:fill="auto" w:val="clear"/>
              </w:rPr>
              <w:t>Coenagrion pu</w:t>
            </w:r>
            <w:r>
              <w:rPr>
                <w:rFonts w:ascii="Times New Roman" w:hAnsi="Times New Roman"/>
                <w:i/>
                <w:iCs/>
                <w:sz w:val="26"/>
                <w:szCs w:val="24"/>
                <w:shd w:fill="auto" w:val="clear"/>
              </w:rPr>
              <w:t>lchellum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Agrion élégant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i/>
                <w:iCs/>
                <w:sz w:val="24"/>
                <w:szCs w:val="24"/>
                <w:shd w:fill="auto" w:val="clear"/>
              </w:rPr>
              <w:t>Ischnura elegans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sz w:val="24"/>
                <w:szCs w:val="24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TableContents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Orthopteres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rillon champêtre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Gryllus campestris</w:t>
            </w:r>
          </w:p>
        </w:tc>
      </w:tr>
      <w:tr>
        <w:trPr/>
        <w:tc>
          <w:tcPr>
            <w:tcW w:w="4763" w:type="dxa"/>
            <w:gridSpan w:val="2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Courtillere</w:t>
            </w:r>
          </w:p>
        </w:tc>
        <w:tc>
          <w:tcPr>
            <w:tcW w:w="4764" w:type="dxa"/>
            <w:tcBorders/>
          </w:tcPr>
          <w:p>
            <w:pPr>
              <w:pStyle w:val="TableContents"/>
              <w:rPr>
                <w:i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Gryllotalpa gryllotalpa</w:t>
            </w:r>
          </w:p>
        </w:tc>
      </w:tr>
      <w:tr>
        <w:trPr/>
        <w:tc>
          <w:tcPr>
            <w:tcW w:w="4763" w:type="dxa"/>
            <w:gridSpan w:val="2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764" w:type="dxa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Amphibiens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Grenouille agile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Rana dalmatina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Mouches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Tipula (Yamatotipula) lateralis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Eristalis tenax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Phasie crassipenne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Ectophasia crassipennis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Gymnosoma rotundatum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TableContents"/>
              <w:jc w:val="left"/>
              <w:rPr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Coléopteres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Chrysomèle violette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Chrysolina haemoptera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Chrysomèle de Banks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Chrysolina bankii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Cryptocéphale soyeux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Cryptocephalus cf sericeus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Cétoine grise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Oxythyrea funesta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L</w:t>
            </w:r>
            <w:r>
              <w:rPr>
                <w:b w:val="false"/>
                <w:bCs w:val="false"/>
                <w:sz w:val="24"/>
                <w:szCs w:val="24"/>
              </w:rPr>
              <w:t>epture de Stendahl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Rutpela nigra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Araignées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 xml:space="preserve">Evarcha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 xml:space="preserve">cf </w:t>
            </w: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arcuata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Frontinellina frutetorum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Hypsosinga albovitata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Larinioides cornutus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Mangora acalypha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Micrommata ligurina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Misumena vatia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Neoscona adianta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Oxyopes heterophthalmus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Runcinia grammica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Sibianor aurocinctus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Tenuiphantes tenuis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Thomisus onustus</w:t>
            </w:r>
          </w:p>
          <w:p>
            <w:pPr>
              <w:pStyle w:val="Normal"/>
              <w:rPr>
                <w:i/>
                <w:i/>
                <w:iCs/>
              </w:rPr>
            </w:pPr>
            <w:r>
              <w:rPr>
                <w:i/>
                <w:iCs/>
              </w:rPr>
              <w:t>Xysticus lanio</w:t>
            </w:r>
          </w:p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Abeilles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Andrena curvungula/pandellei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Poissons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Perche-soleil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Lepomis gibbosus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Fourmis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Formi des bois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Formica rufa</w:t>
            </w:r>
            <w:r>
              <w:rPr>
                <w:b w:val="false"/>
                <w:bCs w:val="false"/>
                <w:sz w:val="24"/>
                <w:szCs w:val="24"/>
              </w:rPr>
              <w:t xml:space="preserve"> agg.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Formi mineuse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Formica cunicularia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Campanotus sp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Punaises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Gonocerus acuteangulatus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</w:rPr>
              <w:t xml:space="preserve">Pentatome </w:t>
            </w:r>
            <w:r>
              <w:rPr>
                <w:rFonts w:ascii="Times New Roman" w:hAnsi="Times New Roman"/>
                <w:sz w:val="26"/>
              </w:rPr>
              <w:t xml:space="preserve">à </w:t>
            </w:r>
            <w:r>
              <w:rPr>
                <w:rFonts w:ascii="Times New Roman" w:hAnsi="Times New Roman"/>
                <w:sz w:val="26"/>
              </w:rPr>
              <w:t>raies pourpres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Odontotarsus purpureolineatus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Réduve annelée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Rhynocoris annulatus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sz w:val="24"/>
                <w:szCs w:val="24"/>
              </w:rPr>
              <w:t>Campto</w:t>
            </w:r>
            <w:r>
              <w:rPr>
                <w:b w:val="false"/>
                <w:bCs w:val="false"/>
                <w:sz w:val="24"/>
                <w:szCs w:val="24"/>
              </w:rPr>
              <w:t>p</w:t>
            </w:r>
            <w:r>
              <w:rPr>
                <w:b w:val="false"/>
                <w:bCs w:val="false"/>
                <w:sz w:val="24"/>
                <w:szCs w:val="24"/>
              </w:rPr>
              <w:t>e des gen</w:t>
            </w:r>
            <w:r>
              <w:rPr>
                <w:rFonts w:ascii="Times New Roman" w:hAnsi="Times New Roman"/>
                <w:sz w:val="26"/>
              </w:rPr>
              <w:t>ê</w:t>
            </w:r>
            <w:r>
              <w:rPr>
                <w:b w:val="false"/>
                <w:bCs w:val="false"/>
                <w:sz w:val="24"/>
                <w:szCs w:val="24"/>
              </w:rPr>
              <w:t>ts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  <w:t>Camptopus lateralis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Méco</w:t>
            </w:r>
            <w:r>
              <w:rPr>
                <w:b/>
                <w:bCs/>
                <w:sz w:val="24"/>
                <w:szCs w:val="24"/>
              </w:rPr>
              <w:t xml:space="preserve">ptères 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Panorpa sp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 xml:space="preserve">Mouche-à-scie 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Mouche-à-scie à trois bandes jaunes 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Macrophya montana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Tenthredo temula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Acariens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Tique de mouton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z w:val="24"/>
                <w:szCs w:val="24"/>
              </w:rPr>
            </w:pPr>
            <w:r>
              <w:rPr>
                <w:b w:val="false"/>
                <w:bCs w:val="false"/>
                <w:i/>
                <w:iCs/>
                <w:sz w:val="24"/>
                <w:szCs w:val="24"/>
              </w:rPr>
              <w:t>Ixodes ricinus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Oiseaux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Busard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Circus sp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Guepier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Merops apiaster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Bruant proyer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Emberiza calandra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Tourterelle des bois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Streptopelia turtur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Faisan de Colchide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Phasianus colchicus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Pigeon ramier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Columba palumbus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Rossignol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L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uscinia megarhynchos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L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oriot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Oriolus oriolus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Héron bihoreau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Nycticorax nycticorax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Mammiferes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Chevreuil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Capreolus capreolus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Noctule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Nyctalus sp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Mollusques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L</w:t>
            </w: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oches méridionale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Arion vulgaris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Escargot petit-gris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Cornu aspersum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Crustacés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Armadille commune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Armadillidium vulgare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 xml:space="preserve">Armadille </w:t>
            </w:r>
            <w:r>
              <w:rPr>
                <w:rFonts w:ascii="Times New Roman" w:hAnsi="Times New Roman"/>
                <w:sz w:val="26"/>
              </w:rPr>
              <w:t xml:space="preserve">à </w:t>
            </w:r>
            <w:r>
              <w:rPr>
                <w:rFonts w:ascii="Times New Roman" w:hAnsi="Times New Roman"/>
                <w:sz w:val="26"/>
              </w:rPr>
              <w:t>nez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Armadillidium nasatum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Philoscie des mousses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Philoscia muscorum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  <w:tr>
        <w:trPr/>
        <w:tc>
          <w:tcPr>
            <w:tcW w:w="9527" w:type="dxa"/>
            <w:gridSpan w:val="3"/>
            <w:tcBorders/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z w:val="24"/>
                <w:szCs w:val="24"/>
              </w:rPr>
              <w:t>Reptiles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Couleuvre verte et jaune</w:t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  <w:t>Heirophis viridiflavus</w:t>
            </w:r>
          </w:p>
        </w:tc>
      </w:tr>
      <w:tr>
        <w:trPr/>
        <w:tc>
          <w:tcPr>
            <w:tcW w:w="4708" w:type="dxa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4819" w:type="dxa"/>
            <w:gridSpan w:val="2"/>
            <w:tcBorders/>
          </w:tcPr>
          <w:p>
            <w:pPr>
              <w:pStyle w:val="Normal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233</TotalTime>
  <Application>LibreOffice/7.2.5.2$Windows_X86_64 LibreOffice_project/499f9727c189e6ef3471021d6132d4c694f357e5</Application>
  <AppVersion>15.0000</AppVersion>
  <Pages>4</Pages>
  <Words>551</Words>
  <Characters>4150</Characters>
  <CharactersWithSpaces>4467</CharactersWithSpaces>
  <Paragraphs>252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2023-05-26T14:48:48Z</dcterms:created>
  <dc:creator/>
  <dc:description/>
  <dc:language>en-GB</dc:language>
  <cp:lastModifiedBy/>
  <dcterms:modified xsi:type="dcterms:W3CDTF">2024-06-05T19:05:46Z</dcterms:modified>
  <cp:revision>18</cp:revision>
  <dc:subject/>
  <dc:title/>
</cp:coreProperties>
</file>